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51" w:rsidRDefault="002C5E51">
      <w:pPr>
        <w:spacing w:before="120"/>
        <w:rPr>
          <w:rFonts w:ascii="Comic Sans MS" w:hAnsi="Comic Sans MS"/>
          <w:color w:val="35359F"/>
          <w:sz w:val="22"/>
        </w:rPr>
      </w:pPr>
    </w:p>
    <w:tbl>
      <w:tblPr>
        <w:tblW w:w="0" w:type="auto"/>
        <w:tblBorders>
          <w:top w:val="thickThinSmallGap" w:sz="18" w:space="0" w:color="C0C0C0"/>
          <w:left w:val="thickThinSmallGap" w:sz="18" w:space="0" w:color="C0C0C0"/>
          <w:bottom w:val="thinThickSmallGap" w:sz="18" w:space="0" w:color="C0C0C0"/>
          <w:right w:val="thinThickSmallGap" w:sz="18" w:space="0" w:color="C0C0C0"/>
        </w:tblBorders>
        <w:tblCellMar>
          <w:left w:w="70" w:type="dxa"/>
          <w:right w:w="70" w:type="dxa"/>
        </w:tblCellMar>
        <w:tblLook w:val="0000" w:firstRow="0" w:lastRow="0" w:firstColumn="0" w:lastColumn="0" w:noHBand="0" w:noVBand="0"/>
      </w:tblPr>
      <w:tblGrid>
        <w:gridCol w:w="411"/>
        <w:gridCol w:w="2899"/>
        <w:gridCol w:w="2840"/>
        <w:gridCol w:w="903"/>
        <w:gridCol w:w="2208"/>
        <w:gridCol w:w="239"/>
      </w:tblGrid>
      <w:tr w:rsidR="002C5E51" w:rsidRPr="002C5E51">
        <w:tc>
          <w:tcPr>
            <w:tcW w:w="9500" w:type="dxa"/>
            <w:gridSpan w:val="6"/>
            <w:tcBorders>
              <w:bottom w:val="nil"/>
            </w:tcBorders>
          </w:tcPr>
          <w:p w:rsidR="002C5E51" w:rsidRPr="00E12334" w:rsidRDefault="002C5E51">
            <w:pPr>
              <w:pStyle w:val="Titre1"/>
              <w:spacing w:before="120" w:line="235" w:lineRule="auto"/>
              <w:ind w:left="144" w:right="144"/>
              <w:rPr>
                <w:color w:val="35359F"/>
                <w14:shadow w14:blurRad="50800" w14:dist="38100" w14:dir="2700000" w14:sx="100000" w14:sy="100000" w14:kx="0" w14:ky="0" w14:algn="tl">
                  <w14:srgbClr w14:val="000000">
                    <w14:alpha w14:val="60000"/>
                  </w14:srgbClr>
                </w14:shadow>
              </w:rPr>
            </w:pPr>
            <w:r w:rsidRPr="00E12334">
              <w:rPr>
                <w:color w:val="35359F"/>
                <w14:shadow w14:blurRad="50800" w14:dist="38100" w14:dir="2700000" w14:sx="100000" w14:sy="100000" w14:kx="0" w14:ky="0" w14:algn="tl">
                  <w14:srgbClr w14:val="000000">
                    <w14:alpha w14:val="60000"/>
                  </w14:srgbClr>
                </w14:shadow>
              </w:rPr>
              <w:t>Politique et procédures</w:t>
            </w:r>
            <w:r w:rsidRPr="00E12334">
              <w:rPr>
                <w:color w:val="35359F"/>
                <w14:shadow w14:blurRad="50800" w14:dist="38100" w14:dir="2700000" w14:sx="100000" w14:sy="100000" w14:kx="0" w14:ky="0" w14:algn="tl">
                  <w14:srgbClr w14:val="000000">
                    <w14:alpha w14:val="60000"/>
                  </w14:srgbClr>
                </w14:shadow>
              </w:rPr>
              <w:br/>
              <w:t>d'utilisation des APR</w:t>
            </w:r>
          </w:p>
          <w:p w:rsidR="002C5E51" w:rsidRPr="002C5E51" w:rsidRDefault="002C5E51">
            <w:pPr>
              <w:pStyle w:val="Normalcentr"/>
              <w:spacing w:after="120" w:line="235" w:lineRule="auto"/>
            </w:pPr>
            <w:r w:rsidRPr="002C5E51">
              <w:t xml:space="preserve">Le port des APR contribue à diminuer l'exposition des travailleurs aux contaminants. Cependant, l'efficacité de l'APR dépend de sa bonne utilisation. Le responsable du programme de protection respiratoire, </w:t>
            </w:r>
            <w:r w:rsidRPr="00E12334">
              <w:rPr>
                <w:b/>
                <w:color w:val="FF00FF"/>
                <w14:shadow w14:blurRad="50800" w14:dist="38100" w14:dir="2700000" w14:sx="100000" w14:sy="100000" w14:kx="0" w14:ky="0" w14:algn="tl">
                  <w14:srgbClr w14:val="000000">
                    <w14:alpha w14:val="60000"/>
                  </w14:srgbClr>
                </w14:shadow>
              </w:rPr>
              <w:t>en accord avec le comité de santé et de sécurité</w:t>
            </w:r>
            <w:r w:rsidRPr="002C5E51">
              <w:t xml:space="preserve"> émet les règles d'utilisation suivantes applicables à tous les utilisateurs d'APR :</w:t>
            </w:r>
          </w:p>
        </w:tc>
      </w:tr>
      <w:tr w:rsidR="002C5E51" w:rsidRPr="002C5E51">
        <w:tc>
          <w:tcPr>
            <w:tcW w:w="9500" w:type="dxa"/>
            <w:gridSpan w:val="6"/>
            <w:tcBorders>
              <w:top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Le port des APR est obligatoire à tous les postes de travail et pour toutes les situations identifiés à cet effet.</w:t>
            </w:r>
          </w:p>
        </w:tc>
      </w:tr>
      <w:tr w:rsidR="002C5E51" w:rsidRPr="002C5E51">
        <w:tc>
          <w:tcPr>
            <w:tcW w:w="9500" w:type="dxa"/>
            <w:gridSpan w:val="6"/>
            <w:tcBorders>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Les travailleurs devant porter des APR munis de pièces faciales étanches doivent porter ceux pour lesquels les essais d'ajustement ont été réussis.</w:t>
            </w:r>
          </w:p>
        </w:tc>
      </w:tr>
      <w:tr w:rsidR="002C5E51" w:rsidRPr="002C5E51">
        <w:tc>
          <w:tcPr>
            <w:tcW w:w="9500" w:type="dxa"/>
            <w:gridSpan w:val="6"/>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Les responsables de la distribution des APR doivent remettre aux travailleurs uniquement les APR retenus pour chacun d'entre eux.</w:t>
            </w:r>
          </w:p>
        </w:tc>
      </w:tr>
      <w:tr w:rsidR="002C5E51" w:rsidRPr="002C5E51">
        <w:tc>
          <w:tcPr>
            <w:tcW w:w="9500" w:type="dxa"/>
            <w:gridSpan w:val="6"/>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spacing w:val="-4"/>
              </w:rPr>
            </w:pPr>
            <w:r w:rsidRPr="002C5E51">
              <w:rPr>
                <w:b w:val="0"/>
                <w:bCs w:val="0"/>
                <w:color w:val="35359F"/>
                <w:spacing w:val="-4"/>
              </w:rPr>
              <w:t>Les APR doivent être inspectés avant et après chaque utilisation en respectant la procédure établie</w:t>
            </w:r>
            <w:r w:rsidRPr="002C5E51">
              <w:rPr>
                <w:rStyle w:val="Appelnotedebasdep"/>
                <w:b w:val="0"/>
                <w:bCs w:val="0"/>
                <w:color w:val="35359F"/>
                <w:spacing w:val="-4"/>
              </w:rPr>
              <w:footnoteReference w:id="1"/>
            </w:r>
            <w:r w:rsidRPr="002C5E51">
              <w:rPr>
                <w:b w:val="0"/>
                <w:bCs w:val="0"/>
                <w:color w:val="35359F"/>
                <w:spacing w:val="-4"/>
              </w:rPr>
              <w:t>; tout défaut doit être rapporté au responsable de l'entretien des APR.</w:t>
            </w:r>
          </w:p>
        </w:tc>
      </w:tr>
      <w:tr w:rsidR="002C5E51" w:rsidRPr="002C5E51">
        <w:tc>
          <w:tcPr>
            <w:tcW w:w="9500" w:type="dxa"/>
            <w:gridSpan w:val="6"/>
            <w:tcBorders>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E12334">
              <w:rPr>
                <w:bCs w:val="0"/>
                <w:color w:val="FF00FF"/>
                <w:spacing w:val="-2"/>
                <w14:shadow w14:blurRad="50800" w14:dist="38100" w14:dir="2700000" w14:sx="100000" w14:sy="100000" w14:kx="0" w14:ky="0" w14:algn="tl">
                  <w14:srgbClr w14:val="000000">
                    <w14:alpha w14:val="60000"/>
                  </w14:srgbClr>
                </w14:shadow>
              </w:rPr>
              <w:t>La qualité de l'air comprimé respirable doit être évaluée à tous les six mois et les bouteilles d'air comprimé respirable non utilisées doivent être retournées au fournisseur à tous les trois mois selon le calendrier établi.</w:t>
            </w:r>
          </w:p>
        </w:tc>
      </w:tr>
      <w:tr w:rsidR="002C5E51" w:rsidRPr="002C5E51">
        <w:tc>
          <w:tcPr>
            <w:tcW w:w="9500" w:type="dxa"/>
            <w:gridSpan w:val="6"/>
            <w:tcBorders>
              <w:top w:val="nil"/>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Les essais d'étanchéité doivent être effectués avant chaque utilisation d'APR muni de pièce faciale ajustée (demi-masque ou masque complet) selon la procédure établie</w:t>
            </w:r>
            <w:r w:rsidRPr="002C5E51">
              <w:rPr>
                <w:rStyle w:val="Appelnotedebasdep"/>
                <w:b w:val="0"/>
                <w:bCs w:val="0"/>
                <w:color w:val="35359F"/>
              </w:rPr>
              <w:footnoteReference w:id="2"/>
            </w:r>
            <w:r w:rsidRPr="002C5E51">
              <w:rPr>
                <w:b w:val="0"/>
                <w:bCs w:val="0"/>
                <w:color w:val="35359F"/>
              </w:rPr>
              <w:t>.</w:t>
            </w:r>
          </w:p>
        </w:tc>
      </w:tr>
      <w:tr w:rsidR="002C5E51" w:rsidRPr="002C5E51">
        <w:tc>
          <w:tcPr>
            <w:tcW w:w="9500" w:type="dxa"/>
            <w:gridSpan w:val="6"/>
            <w:tcBorders>
              <w:top w:val="nil"/>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 xml:space="preserve">Lors de l'utilisation d'un APR muni d'une pièce faciale ajustée, rien ne doit s'interposer entre la surface d'étanchéité et le visage de l'utilisateur. Ainsi, les travailleurs devant porter ce type d'APR doivent être fraîchement rasés (voir </w:t>
            </w:r>
            <w:r w:rsidRPr="002C5E51">
              <w:rPr>
                <w:b w:val="0"/>
                <w:bCs w:val="0"/>
                <w:i/>
                <w:iCs/>
                <w:color w:val="35359F"/>
              </w:rPr>
              <w:t>Politique concernant le port de la barbe</w:t>
            </w:r>
            <w:r w:rsidRPr="002C5E51">
              <w:rPr>
                <w:b w:val="0"/>
                <w:bCs w:val="0"/>
                <w:color w:val="35359F"/>
              </w:rPr>
              <w:t xml:space="preserve">). </w:t>
            </w:r>
          </w:p>
        </w:tc>
      </w:tr>
      <w:tr w:rsidR="002C5E51" w:rsidRPr="002C5E51">
        <w:tc>
          <w:tcPr>
            <w:tcW w:w="9500" w:type="dxa"/>
            <w:gridSpan w:val="6"/>
            <w:tcBorders>
              <w:top w:val="nil"/>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L'APR doit être porté durant toute la durée de l'exposition et tant que le risque d'exposition subsiste.</w:t>
            </w:r>
          </w:p>
        </w:tc>
      </w:tr>
      <w:tr w:rsidR="002C5E51" w:rsidRPr="002C5E51">
        <w:tc>
          <w:tcPr>
            <w:tcW w:w="9500" w:type="dxa"/>
            <w:gridSpan w:val="6"/>
            <w:tcBorders>
              <w:top w:val="nil"/>
              <w:bottom w:val="nil"/>
            </w:tcBorders>
          </w:tcPr>
          <w:p w:rsidR="002C5E51" w:rsidRPr="002C5E51" w:rsidRDefault="002C5E51" w:rsidP="0096757C">
            <w:pPr>
              <w:pStyle w:val="Titre3"/>
              <w:numPr>
                <w:ilvl w:val="0"/>
                <w:numId w:val="2"/>
              </w:numPr>
              <w:tabs>
                <w:tab w:val="clear" w:pos="360"/>
                <w:tab w:val="left" w:pos="540"/>
              </w:tabs>
              <w:spacing w:line="235" w:lineRule="auto"/>
              <w:ind w:left="547" w:right="144"/>
              <w:jc w:val="both"/>
              <w:rPr>
                <w:b w:val="0"/>
                <w:bCs w:val="0"/>
                <w:color w:val="35359F"/>
              </w:rPr>
            </w:pPr>
            <w:r w:rsidRPr="002C5E51">
              <w:rPr>
                <w:b w:val="0"/>
                <w:bCs w:val="0"/>
                <w:color w:val="35359F"/>
              </w:rPr>
              <w:t>Les APR doivent être nettoyés et désinfectés selon la procédure établie</w:t>
            </w:r>
            <w:r w:rsidRPr="002C5E51">
              <w:rPr>
                <w:b w:val="0"/>
                <w:bCs w:val="0"/>
                <w:color w:val="35359F"/>
                <w:vertAlign w:val="superscript"/>
              </w:rPr>
              <w:t>1</w:t>
            </w:r>
            <w:r w:rsidRPr="002C5E51">
              <w:rPr>
                <w:b w:val="0"/>
                <w:bCs w:val="0"/>
                <w:color w:val="35359F"/>
              </w:rPr>
              <w:t>.</w:t>
            </w:r>
          </w:p>
        </w:tc>
      </w:tr>
      <w:tr w:rsidR="002C5E51" w:rsidRPr="002C5E51">
        <w:tc>
          <w:tcPr>
            <w:tcW w:w="9500" w:type="dxa"/>
            <w:gridSpan w:val="6"/>
            <w:tcBorders>
              <w:top w:val="nil"/>
              <w:bottom w:val="nil"/>
            </w:tcBorders>
          </w:tcPr>
          <w:p w:rsidR="002C5E51" w:rsidRPr="002C5E51" w:rsidRDefault="002C5E51" w:rsidP="0096757C">
            <w:pPr>
              <w:pStyle w:val="Titre3"/>
              <w:numPr>
                <w:ilvl w:val="0"/>
                <w:numId w:val="2"/>
              </w:numPr>
              <w:tabs>
                <w:tab w:val="clear" w:pos="360"/>
                <w:tab w:val="left" w:pos="540"/>
              </w:tabs>
              <w:spacing w:after="160" w:line="235" w:lineRule="auto"/>
              <w:ind w:left="547" w:right="144"/>
              <w:jc w:val="both"/>
              <w:rPr>
                <w:b w:val="0"/>
                <w:bCs w:val="0"/>
                <w:color w:val="35359F"/>
              </w:rPr>
            </w:pPr>
            <w:r w:rsidRPr="002C5E51">
              <w:rPr>
                <w:b w:val="0"/>
                <w:bCs w:val="0"/>
                <w:color w:val="35359F"/>
              </w:rPr>
              <w:t>Les APR doivent être entreposés selon la procédure établie</w:t>
            </w:r>
            <w:r w:rsidRPr="002C5E51">
              <w:rPr>
                <w:b w:val="0"/>
                <w:bCs w:val="0"/>
                <w:color w:val="35359F"/>
                <w:vertAlign w:val="superscript"/>
              </w:rPr>
              <w:t>1</w:t>
            </w:r>
            <w:r w:rsidRPr="002C5E51">
              <w:rPr>
                <w:b w:val="0"/>
                <w:bCs w:val="0"/>
                <w:color w:val="35359F"/>
              </w:rPr>
              <w:t>.</w:t>
            </w:r>
          </w:p>
        </w:tc>
      </w:tr>
      <w:tr w:rsidR="002C5E51" w:rsidRPr="002C5E51">
        <w:trPr>
          <w:cantSplit/>
        </w:trPr>
        <w:tc>
          <w:tcPr>
            <w:tcW w:w="411" w:type="dxa"/>
            <w:tcBorders>
              <w:top w:val="nil"/>
              <w:bottom w:val="nil"/>
            </w:tcBorders>
          </w:tcPr>
          <w:p w:rsidR="002C5E51" w:rsidRPr="002C5E51" w:rsidRDefault="002C5E51">
            <w:pPr>
              <w:pStyle w:val="Titre4"/>
              <w:spacing w:before="60" w:after="60" w:line="235" w:lineRule="auto"/>
              <w:ind w:left="144" w:right="144"/>
              <w:rPr>
                <w:rFonts w:ascii="Bradley Hand ITC" w:hAnsi="Bradley Hand ITC"/>
                <w:b w:val="0"/>
                <w:bCs w:val="0"/>
                <w:sz w:val="20"/>
              </w:rPr>
            </w:pPr>
          </w:p>
        </w:tc>
        <w:tc>
          <w:tcPr>
            <w:tcW w:w="2899" w:type="dxa"/>
            <w:tcBorders>
              <w:top w:val="nil"/>
              <w:bottom w:val="single" w:sz="4" w:space="0" w:color="333399"/>
            </w:tcBorders>
          </w:tcPr>
          <w:p w:rsidR="002C5E51" w:rsidRPr="002C5E51" w:rsidRDefault="002C5E51">
            <w:pPr>
              <w:pStyle w:val="Titre4"/>
              <w:spacing w:before="60" w:after="60" w:line="235" w:lineRule="auto"/>
              <w:ind w:left="144" w:right="144"/>
              <w:rPr>
                <w:rFonts w:ascii="Bradley Hand ITC" w:hAnsi="Bradley Hand ITC"/>
                <w:b w:val="0"/>
                <w:bCs w:val="0"/>
                <w:sz w:val="20"/>
              </w:rPr>
            </w:pPr>
          </w:p>
        </w:tc>
        <w:tc>
          <w:tcPr>
            <w:tcW w:w="2840" w:type="dxa"/>
          </w:tcPr>
          <w:p w:rsidR="002C5E51" w:rsidRPr="002C5E51" w:rsidRDefault="002C5E51">
            <w:pPr>
              <w:pStyle w:val="Titre4"/>
              <w:spacing w:before="60" w:after="60" w:line="235" w:lineRule="auto"/>
              <w:ind w:left="144" w:right="144"/>
              <w:rPr>
                <w:rFonts w:ascii="Bradley Hand ITC" w:hAnsi="Bradley Hand ITC"/>
                <w:b w:val="0"/>
                <w:bCs w:val="0"/>
                <w:sz w:val="20"/>
              </w:rPr>
            </w:pPr>
          </w:p>
        </w:tc>
        <w:tc>
          <w:tcPr>
            <w:tcW w:w="903" w:type="dxa"/>
            <w:tcBorders>
              <w:top w:val="nil"/>
              <w:bottom w:val="nil"/>
            </w:tcBorders>
          </w:tcPr>
          <w:p w:rsidR="002C5E51" w:rsidRPr="002C5E51" w:rsidRDefault="002C5E51">
            <w:pPr>
              <w:pStyle w:val="Titre4"/>
              <w:spacing w:before="60" w:after="60" w:line="235" w:lineRule="auto"/>
              <w:ind w:left="144" w:right="144"/>
              <w:rPr>
                <w:rFonts w:ascii="Bradley Hand ITC" w:hAnsi="Bradley Hand ITC"/>
                <w:b w:val="0"/>
                <w:bCs w:val="0"/>
                <w:sz w:val="20"/>
              </w:rPr>
            </w:pPr>
          </w:p>
        </w:tc>
        <w:tc>
          <w:tcPr>
            <w:tcW w:w="2208" w:type="dxa"/>
            <w:tcBorders>
              <w:top w:val="nil"/>
              <w:bottom w:val="single" w:sz="4" w:space="0" w:color="333399"/>
            </w:tcBorders>
          </w:tcPr>
          <w:p w:rsidR="002C5E51" w:rsidRPr="002C5E51" w:rsidRDefault="002C5E51">
            <w:pPr>
              <w:pStyle w:val="Titre4"/>
              <w:spacing w:before="60" w:after="60" w:line="235" w:lineRule="auto"/>
              <w:ind w:left="144" w:right="144"/>
              <w:rPr>
                <w:rFonts w:ascii="Bradley Hand ITC" w:hAnsi="Bradley Hand ITC"/>
                <w:b w:val="0"/>
                <w:bCs w:val="0"/>
                <w:sz w:val="20"/>
              </w:rPr>
            </w:pPr>
          </w:p>
        </w:tc>
        <w:tc>
          <w:tcPr>
            <w:tcW w:w="239" w:type="dxa"/>
            <w:tcBorders>
              <w:top w:val="nil"/>
              <w:bottom w:val="nil"/>
            </w:tcBorders>
          </w:tcPr>
          <w:p w:rsidR="002C5E51" w:rsidRPr="002C5E51" w:rsidRDefault="002C5E51">
            <w:pPr>
              <w:pStyle w:val="Titre4"/>
              <w:spacing w:before="60" w:after="60" w:line="235" w:lineRule="auto"/>
              <w:ind w:left="144" w:right="144"/>
              <w:rPr>
                <w:rFonts w:ascii="Bradley Hand ITC" w:hAnsi="Bradley Hand ITC"/>
                <w:b w:val="0"/>
                <w:bCs w:val="0"/>
                <w:sz w:val="8"/>
              </w:rPr>
            </w:pPr>
          </w:p>
        </w:tc>
      </w:tr>
      <w:tr w:rsidR="002C5E51" w:rsidRPr="002C5E51">
        <w:trPr>
          <w:cantSplit/>
        </w:trPr>
        <w:tc>
          <w:tcPr>
            <w:tcW w:w="411" w:type="dxa"/>
            <w:vAlign w:val="bottom"/>
          </w:tcPr>
          <w:p w:rsidR="002C5E51" w:rsidRPr="002C5E51" w:rsidRDefault="002C5E51">
            <w:pPr>
              <w:pStyle w:val="Titre4"/>
              <w:spacing w:before="120" w:line="235" w:lineRule="auto"/>
              <w:ind w:left="144" w:right="144"/>
              <w:rPr>
                <w:rFonts w:ascii="Bradley Hand ITC" w:hAnsi="Bradley Hand ITC"/>
                <w:sz w:val="20"/>
              </w:rPr>
            </w:pPr>
          </w:p>
        </w:tc>
        <w:tc>
          <w:tcPr>
            <w:tcW w:w="2899" w:type="dxa"/>
            <w:vAlign w:val="bottom"/>
          </w:tcPr>
          <w:p w:rsidR="002C5E51" w:rsidRPr="002C5E51" w:rsidRDefault="002C5E51">
            <w:pPr>
              <w:pStyle w:val="Titre4"/>
              <w:spacing w:before="120" w:line="235" w:lineRule="auto"/>
              <w:ind w:left="144" w:right="144"/>
              <w:rPr>
                <w:rFonts w:ascii="Bradley Hand ITC" w:hAnsi="Bradley Hand ITC"/>
                <w:sz w:val="20"/>
              </w:rPr>
            </w:pPr>
            <w:r w:rsidRPr="002C5E51">
              <w:rPr>
                <w:rFonts w:ascii="Bradley Hand ITC" w:hAnsi="Bradley Hand ITC"/>
                <w:sz w:val="20"/>
              </w:rPr>
              <w:t>Responsable du PPR</w:t>
            </w:r>
          </w:p>
        </w:tc>
        <w:tc>
          <w:tcPr>
            <w:tcW w:w="2840" w:type="dxa"/>
            <w:vAlign w:val="bottom"/>
          </w:tcPr>
          <w:p w:rsidR="002C5E51" w:rsidRPr="002C5E51" w:rsidRDefault="002C5E51">
            <w:pPr>
              <w:pStyle w:val="Titre4"/>
              <w:spacing w:before="120" w:line="235" w:lineRule="auto"/>
              <w:ind w:left="144" w:right="144"/>
              <w:rPr>
                <w:rFonts w:ascii="Bradley Hand ITC" w:hAnsi="Bradley Hand ITC"/>
                <w:sz w:val="20"/>
              </w:rPr>
            </w:pPr>
          </w:p>
        </w:tc>
        <w:tc>
          <w:tcPr>
            <w:tcW w:w="903" w:type="dxa"/>
            <w:tcBorders>
              <w:top w:val="nil"/>
              <w:bottom w:val="nil"/>
            </w:tcBorders>
            <w:vAlign w:val="bottom"/>
          </w:tcPr>
          <w:p w:rsidR="002C5E51" w:rsidRPr="002C5E51" w:rsidRDefault="002C5E51">
            <w:pPr>
              <w:pStyle w:val="Titre4"/>
              <w:spacing w:before="120" w:line="235" w:lineRule="auto"/>
              <w:ind w:left="144" w:right="144"/>
              <w:rPr>
                <w:rFonts w:ascii="Bradley Hand ITC" w:hAnsi="Bradley Hand ITC"/>
                <w:sz w:val="20"/>
              </w:rPr>
            </w:pPr>
          </w:p>
        </w:tc>
        <w:tc>
          <w:tcPr>
            <w:tcW w:w="2208" w:type="dxa"/>
            <w:tcBorders>
              <w:top w:val="nil"/>
              <w:bottom w:val="nil"/>
            </w:tcBorders>
            <w:vAlign w:val="bottom"/>
          </w:tcPr>
          <w:p w:rsidR="002C5E51" w:rsidRPr="002C5E51" w:rsidRDefault="002C5E51">
            <w:pPr>
              <w:pStyle w:val="Titre4"/>
              <w:spacing w:before="120" w:line="235" w:lineRule="auto"/>
              <w:ind w:left="144" w:right="144"/>
              <w:jc w:val="center"/>
              <w:rPr>
                <w:rFonts w:ascii="Bradley Hand ITC" w:hAnsi="Bradley Hand ITC"/>
                <w:sz w:val="20"/>
              </w:rPr>
            </w:pPr>
            <w:r w:rsidRPr="002C5E51">
              <w:rPr>
                <w:rFonts w:ascii="Bradley Hand ITC" w:hAnsi="Bradley Hand ITC"/>
                <w:sz w:val="20"/>
              </w:rPr>
              <w:t>Date</w:t>
            </w:r>
          </w:p>
        </w:tc>
        <w:tc>
          <w:tcPr>
            <w:tcW w:w="239" w:type="dxa"/>
            <w:tcBorders>
              <w:top w:val="nil"/>
              <w:bottom w:val="nil"/>
            </w:tcBorders>
            <w:vAlign w:val="bottom"/>
          </w:tcPr>
          <w:p w:rsidR="002C5E51" w:rsidRPr="002C5E51" w:rsidRDefault="002C5E51">
            <w:pPr>
              <w:pStyle w:val="Titre4"/>
              <w:spacing w:before="120" w:line="235" w:lineRule="auto"/>
              <w:ind w:left="144" w:right="144"/>
              <w:rPr>
                <w:rFonts w:ascii="Bradley Hand ITC" w:hAnsi="Bradley Hand ITC"/>
                <w:sz w:val="8"/>
              </w:rPr>
            </w:pPr>
          </w:p>
        </w:tc>
      </w:tr>
      <w:tr w:rsidR="002C5E51" w:rsidRPr="002C5E51">
        <w:tc>
          <w:tcPr>
            <w:tcW w:w="9500" w:type="dxa"/>
            <w:gridSpan w:val="6"/>
          </w:tcPr>
          <w:p w:rsidR="002C5E51" w:rsidRPr="002C5E51" w:rsidRDefault="002C5E51">
            <w:pPr>
              <w:pStyle w:val="En-tte"/>
              <w:tabs>
                <w:tab w:val="clear" w:pos="4320"/>
                <w:tab w:val="clear" w:pos="8640"/>
              </w:tabs>
              <w:ind w:left="144" w:right="144"/>
              <w:rPr>
                <w:color w:val="35359F"/>
              </w:rPr>
            </w:pPr>
          </w:p>
        </w:tc>
      </w:tr>
    </w:tbl>
    <w:p w:rsidR="002C5E51" w:rsidRPr="002C5E51" w:rsidRDefault="002C5E51" w:rsidP="005C0A39">
      <w:pPr>
        <w:rPr>
          <w:color w:val="35359F"/>
        </w:rPr>
      </w:pPr>
    </w:p>
    <w:sectPr w:rsidR="002C5E51" w:rsidRPr="002C5E51" w:rsidSect="002C5E51">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432"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96" w:rsidRDefault="002E1D96">
      <w:r>
        <w:separator/>
      </w:r>
    </w:p>
  </w:endnote>
  <w:endnote w:type="continuationSeparator" w:id="0">
    <w:p w:rsidR="002E1D96" w:rsidRDefault="002E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03" w:rsidRDefault="008C33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7C" w:rsidRPr="00145788" w:rsidRDefault="005C2481" w:rsidP="0096757C">
    <w:pPr>
      <w:pStyle w:val="Pieddepage"/>
      <w:rPr>
        <w:rFonts w:ascii="Comic Sans MS" w:hAnsi="Comic Sans MS"/>
        <w:color w:val="333399"/>
        <w:sz w:val="16"/>
        <w:szCs w:val="16"/>
      </w:rPr>
    </w:pPr>
    <w:r>
      <w:rPr>
        <w:rFonts w:ascii="Comic Sans MS" w:hAnsi="Comic Sans MS"/>
        <w:color w:val="333399"/>
        <w:sz w:val="16"/>
        <w:szCs w:val="16"/>
      </w:rPr>
      <w:t>2014 10 28</w:t>
    </w:r>
  </w:p>
  <w:p w:rsidR="002C5E51" w:rsidRPr="002C5E51" w:rsidRDefault="002C5E51" w:rsidP="0096757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03" w:rsidRDefault="008C33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96" w:rsidRDefault="002E1D96">
      <w:pPr>
        <w:pStyle w:val="Titre3"/>
        <w:rPr>
          <w:rFonts w:ascii="Times New Roman" w:hAnsi="Times New Roman"/>
          <w:b w:val="0"/>
          <w:bCs w:val="0"/>
          <w:color w:val="auto"/>
          <w:sz w:val="24"/>
        </w:rPr>
      </w:pPr>
      <w:r>
        <w:separator/>
      </w:r>
    </w:p>
  </w:footnote>
  <w:footnote w:type="continuationSeparator" w:id="0">
    <w:p w:rsidR="002E1D96" w:rsidRDefault="002E1D96">
      <w:r>
        <w:continuationSeparator/>
      </w:r>
    </w:p>
  </w:footnote>
  <w:footnote w:id="1">
    <w:p w:rsidR="002C5E51" w:rsidRDefault="002C5E51">
      <w:pPr>
        <w:pStyle w:val="Notedebasdepage"/>
        <w:tabs>
          <w:tab w:val="left" w:pos="288"/>
        </w:tabs>
        <w:ind w:left="288" w:hanging="288"/>
        <w:jc w:val="both"/>
        <w:rPr>
          <w:rFonts w:ascii="Comic Sans MS" w:hAnsi="Comic Sans MS"/>
          <w:color w:val="35359F"/>
          <w:sz w:val="17"/>
        </w:rPr>
      </w:pPr>
      <w:r>
        <w:rPr>
          <w:rStyle w:val="Appelnotedebasdep"/>
          <w:rFonts w:ascii="Comic Sans MS" w:hAnsi="Comic Sans MS"/>
          <w:color w:val="35359F"/>
          <w:sz w:val="17"/>
        </w:rPr>
        <w:footnoteRef/>
      </w:r>
      <w:r>
        <w:rPr>
          <w:rFonts w:ascii="Comic Sans MS" w:hAnsi="Comic Sans MS"/>
          <w:color w:val="35359F"/>
          <w:sz w:val="17"/>
        </w:rPr>
        <w:t xml:space="preserve"> </w:t>
      </w:r>
      <w:r>
        <w:rPr>
          <w:rFonts w:ascii="Comic Sans MS" w:hAnsi="Comic Sans MS"/>
          <w:color w:val="35359F"/>
          <w:sz w:val="17"/>
        </w:rPr>
        <w:tab/>
        <w:t>Pour établir cette procédure, consulter la fiche technique 7 : </w:t>
      </w:r>
      <w:r>
        <w:rPr>
          <w:rFonts w:ascii="Comic Sans MS" w:hAnsi="Comic Sans MS"/>
          <w:i/>
          <w:iCs/>
          <w:color w:val="35359F"/>
          <w:sz w:val="17"/>
        </w:rPr>
        <w:t>Nettoyage, vérification et entreposage des appareils de protection respiratoire (APR)</w:t>
      </w:r>
      <w:r>
        <w:rPr>
          <w:rFonts w:ascii="Comic Sans MS" w:hAnsi="Comic Sans MS"/>
          <w:color w:val="35359F"/>
          <w:sz w:val="17"/>
        </w:rPr>
        <w:t>.</w:t>
      </w:r>
    </w:p>
  </w:footnote>
  <w:footnote w:id="2">
    <w:p w:rsidR="002C5E51" w:rsidRDefault="002C5E51">
      <w:pPr>
        <w:pStyle w:val="Notedebasdepage"/>
        <w:tabs>
          <w:tab w:val="left" w:pos="288"/>
        </w:tabs>
        <w:ind w:left="288" w:hanging="288"/>
        <w:jc w:val="both"/>
        <w:rPr>
          <w:rFonts w:ascii="Comic Sans MS" w:hAnsi="Comic Sans MS"/>
          <w:color w:val="35359F"/>
          <w:sz w:val="17"/>
        </w:rPr>
      </w:pPr>
      <w:r>
        <w:rPr>
          <w:rFonts w:ascii="Comic Sans MS" w:hAnsi="Comic Sans MS"/>
          <w:color w:val="35359F"/>
          <w:sz w:val="17"/>
          <w:vertAlign w:val="superscript"/>
        </w:rPr>
        <w:footnoteRef/>
      </w:r>
      <w:r>
        <w:rPr>
          <w:rFonts w:ascii="Comic Sans MS" w:hAnsi="Comic Sans MS"/>
          <w:color w:val="35359F"/>
          <w:sz w:val="17"/>
          <w:vertAlign w:val="superscript"/>
        </w:rPr>
        <w:t xml:space="preserve"> </w:t>
      </w:r>
      <w:r>
        <w:rPr>
          <w:rFonts w:ascii="Comic Sans MS" w:hAnsi="Comic Sans MS"/>
          <w:color w:val="35359F"/>
          <w:sz w:val="17"/>
          <w:vertAlign w:val="superscript"/>
        </w:rPr>
        <w:tab/>
      </w:r>
      <w:r>
        <w:rPr>
          <w:rFonts w:ascii="Comic Sans MS" w:hAnsi="Comic Sans MS"/>
          <w:color w:val="35359F"/>
          <w:sz w:val="17"/>
        </w:rPr>
        <w:t xml:space="preserve">Pour établir cette procédure, consulter le chapitre 6 du </w:t>
      </w:r>
      <w:r>
        <w:rPr>
          <w:rFonts w:ascii="Comic Sans MS" w:hAnsi="Comic Sans MS"/>
          <w:i/>
          <w:iCs/>
          <w:color w:val="35359F"/>
          <w:sz w:val="17"/>
        </w:rPr>
        <w:t>Guide d'élaboration d'un programme de protection respiratoire</w:t>
      </w:r>
      <w:r>
        <w:rPr>
          <w:rFonts w:ascii="Comic Sans MS" w:hAnsi="Comic Sans MS"/>
          <w:color w:val="35359F"/>
          <w:sz w:val="17"/>
        </w:rPr>
        <w:t>.</w:t>
      </w:r>
    </w:p>
    <w:p w:rsidR="0096757C" w:rsidRDefault="0096757C">
      <w:pPr>
        <w:pStyle w:val="Notedebasdepage"/>
        <w:tabs>
          <w:tab w:val="left" w:pos="288"/>
        </w:tabs>
        <w:ind w:left="288" w:hanging="288"/>
        <w:jc w:val="both"/>
        <w:rPr>
          <w:rFonts w:ascii="Comic Sans MS" w:hAnsi="Comic Sans MS"/>
          <w:color w:val="35359F"/>
          <w:sz w:val="17"/>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03" w:rsidRDefault="008C33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51" w:rsidRDefault="008C3303">
    <w:pPr>
      <w:pStyle w:val="En-tte"/>
      <w:spacing w:before="240"/>
      <w:ind w:left="-720"/>
    </w:pPr>
    <w:bookmarkStart w:id="0" w:name="_GoBack"/>
    <w:r>
      <w:rPr>
        <w:noProof/>
        <w:lang w:eastAsia="fr-CA"/>
      </w:rPr>
      <w:drawing>
        <wp:anchor distT="0" distB="0" distL="114300" distR="114300" simplePos="0" relativeHeight="251658752" behindDoc="0" locked="0" layoutInCell="1" allowOverlap="1">
          <wp:simplePos x="0" y="0"/>
          <wp:positionH relativeFrom="column">
            <wp:posOffset>-682389</wp:posOffset>
          </wp:positionH>
          <wp:positionV relativeFrom="paragraph">
            <wp:posOffset>62419</wp:posOffset>
          </wp:positionV>
          <wp:extent cx="2142490" cy="756920"/>
          <wp:effectExtent l="0" t="0" r="0" b="5080"/>
          <wp:wrapNone/>
          <wp:docPr id="4" name="Image 4" descr="T:\DSP\PST\7500 Programme Santé au Travail\10 Logo\DSP\Logo_CISSSM_DSP_Coul.jpg"/>
          <wp:cNvGraphicFramePr/>
          <a:graphic xmlns:a="http://schemas.openxmlformats.org/drawingml/2006/main">
            <a:graphicData uri="http://schemas.openxmlformats.org/drawingml/2006/picture">
              <pic:pic xmlns:pic="http://schemas.openxmlformats.org/drawingml/2006/picture">
                <pic:nvPicPr>
                  <pic:cNvPr id="4" name="Image 4" descr="T:\DSP\PST\7500 Programme Santé au Travail\10 Logo\DSP\Logo_CISSSM_DSP_Cou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2490" cy="756920"/>
                  </a:xfrm>
                  <a:prstGeom prst="rect">
                    <a:avLst/>
                  </a:prstGeom>
                  <a:noFill/>
                  <a:ln>
                    <a:noFill/>
                  </a:ln>
                </pic:spPr>
              </pic:pic>
            </a:graphicData>
          </a:graphic>
        </wp:anchor>
      </w:drawing>
    </w:r>
    <w:bookmarkEnd w:id="0"/>
    <w:r w:rsidR="00E12334">
      <w:rPr>
        <w:noProof/>
        <w:sz w:val="20"/>
        <w:lang w:eastAsia="fr-CA"/>
      </w:rPr>
      <mc:AlternateContent>
        <mc:Choice Requires="wps">
          <w:drawing>
            <wp:anchor distT="0" distB="0" distL="114300" distR="114300" simplePos="0" relativeHeight="251657728" behindDoc="0" locked="0" layoutInCell="1" allowOverlap="1">
              <wp:simplePos x="0" y="0"/>
              <wp:positionH relativeFrom="column">
                <wp:posOffset>1793240</wp:posOffset>
              </wp:positionH>
              <wp:positionV relativeFrom="paragraph">
                <wp:posOffset>165100</wp:posOffset>
              </wp:positionV>
              <wp:extent cx="1714500" cy="1143000"/>
              <wp:effectExtent l="254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E51" w:rsidRDefault="00E12334">
                          <w:r>
                            <w:rPr>
                              <w:noProof/>
                              <w:lang w:eastAsia="fr-CA"/>
                            </w:rPr>
                            <w:drawing>
                              <wp:inline distT="0" distB="0" distL="0" distR="0">
                                <wp:extent cx="1536700" cy="1079500"/>
                                <wp:effectExtent l="0" t="0" r="6350" b="6350"/>
                                <wp:docPr id="3" name="Image 1" descr="Frère de s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ère de sn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07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1.2pt;margin-top:13pt;width:13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" stroked="f">
              <v:textbox>
                <w:txbxContent>
                  <w:p w:rsidR="002C5E51" w:rsidRDefault="00E12334">
                    <w:r>
                      <w:rPr>
                        <w:noProof/>
                        <w:lang w:eastAsia="fr-CA"/>
                      </w:rPr>
                      <w:drawing>
                        <wp:inline distT="0" distB="0" distL="0" distR="0">
                          <wp:extent cx="1536700" cy="1079500"/>
                          <wp:effectExtent l="0" t="0" r="6350" b="6350"/>
                          <wp:docPr id="3" name="Image 1" descr="Frère de s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ère de sn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079500"/>
                                  </a:xfrm>
                                  <a:prstGeom prst="rect">
                                    <a:avLst/>
                                  </a:prstGeom>
                                  <a:noFill/>
                                  <a:ln>
                                    <a:noFill/>
                                  </a:ln>
                                </pic:spPr>
                              </pic:pic>
                            </a:graphicData>
                          </a:graphic>
                        </wp:inline>
                      </w:drawing>
                    </w:r>
                  </w:p>
                </w:txbxContent>
              </v:textbox>
            </v:shape>
          </w:pict>
        </mc:Fallback>
      </mc:AlternateContent>
    </w:r>
    <w:r w:rsidR="00E12334">
      <w:rPr>
        <w:noProof/>
        <w:sz w:val="20"/>
        <w:lang w:eastAsia="fr-CA"/>
      </w:rPr>
      <mc:AlternateContent>
        <mc:Choice Requires="wps">
          <w:drawing>
            <wp:anchor distT="0" distB="0" distL="114300" distR="114300" simplePos="0" relativeHeight="251656704" behindDoc="0" locked="0" layoutInCell="1" allowOverlap="1">
              <wp:simplePos x="0" y="0"/>
              <wp:positionH relativeFrom="column">
                <wp:posOffset>3528060</wp:posOffset>
              </wp:positionH>
              <wp:positionV relativeFrom="paragraph">
                <wp:posOffset>81280</wp:posOffset>
              </wp:positionV>
              <wp:extent cx="2514600" cy="685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E51" w:rsidRPr="00E12334" w:rsidRDefault="002C5E51">
                          <w:pPr>
                            <w:jc w:val="right"/>
                            <w:rPr>
                              <w:rFonts w:ascii="Comic Sans MS" w:hAnsi="Comic Sans MS"/>
                              <w:b/>
                              <w:bCs/>
                              <w:color w:val="333399"/>
                              <w:sz w:val="16"/>
                              <w14:shadow w14:blurRad="50800" w14:dist="38100" w14:dir="2700000" w14:sx="100000" w14:sy="100000" w14:kx="0" w14:ky="0" w14:algn="tl">
                                <w14:srgbClr w14:val="000000">
                                  <w14:alpha w14:val="60000"/>
                                </w14:srgbClr>
                              </w14:shadow>
                            </w:rPr>
                          </w:pPr>
                          <w:r w:rsidRPr="00E12334">
                            <w:rPr>
                              <w:rFonts w:ascii="Comic Sans MS" w:hAnsi="Comic Sans MS"/>
                              <w:b/>
                              <w:bCs/>
                              <w:color w:val="333399"/>
                              <w:sz w:val="16"/>
                              <w14:shadow w14:blurRad="50800" w14:dist="38100" w14:dir="2700000" w14:sx="100000" w14:sy="100000" w14:kx="0" w14:ky="0" w14:algn="tl">
                                <w14:srgbClr w14:val="000000">
                                  <w14:alpha w14:val="60000"/>
                                </w14:srgbClr>
                              </w14:shadow>
                            </w:rPr>
                            <w:t>Modèle n</w:t>
                          </w:r>
                          <w:r w:rsidRPr="00E12334">
                            <w:rPr>
                              <w:rFonts w:ascii="Comic Sans MS" w:hAnsi="Comic Sans MS"/>
                              <w:b/>
                              <w:bCs/>
                              <w:color w:val="333399"/>
                              <w:sz w:val="16"/>
                              <w:vertAlign w:val="superscript"/>
                              <w14:shadow w14:blurRad="50800" w14:dist="38100" w14:dir="2700000" w14:sx="100000" w14:sy="100000" w14:kx="0" w14:ky="0" w14:algn="tl">
                                <w14:srgbClr w14:val="000000">
                                  <w14:alpha w14:val="60000"/>
                                </w14:srgbClr>
                              </w14:shadow>
                            </w:rPr>
                            <w:t>o</w:t>
                          </w:r>
                          <w:r w:rsidRPr="00E12334">
                            <w:rPr>
                              <w:rFonts w:ascii="Comic Sans MS" w:hAnsi="Comic Sans MS"/>
                              <w:b/>
                              <w:bCs/>
                              <w:color w:val="333399"/>
                              <w:sz w:val="16"/>
                              <w14:shadow w14:blurRad="50800" w14:dist="38100" w14:dir="2700000" w14:sx="100000" w14:sy="100000" w14:kx="0" w14:ky="0" w14:algn="tl">
                                <w14:srgbClr w14:val="000000">
                                  <w14:alpha w14:val="60000"/>
                                </w14:srgbClr>
                              </w14:shadow>
                            </w:rPr>
                            <w:t xml:space="preserve"> 10</w:t>
                          </w:r>
                        </w:p>
                        <w:p w:rsidR="002C5E51" w:rsidRDefault="002C5E51">
                          <w:pPr>
                            <w:jc w:val="right"/>
                            <w:rPr>
                              <w:rFonts w:ascii="Comic Sans MS" w:hAnsi="Comic Sans MS"/>
                              <w:color w:val="333399"/>
                              <w:sz w:val="19"/>
                            </w:rPr>
                          </w:pPr>
                          <w:r>
                            <w:rPr>
                              <w:rFonts w:ascii="Comic Sans MS" w:hAnsi="Comic Sans MS"/>
                              <w:color w:val="333399"/>
                              <w:spacing w:val="2"/>
                              <w:sz w:val="16"/>
                            </w:rPr>
                            <w:t>En référence à l'étape 6 du PPR et à la</w:t>
                          </w:r>
                          <w:r>
                            <w:rPr>
                              <w:rFonts w:ascii="Comic Sans MS" w:hAnsi="Comic Sans MS"/>
                              <w:color w:val="333399"/>
                              <w:spacing w:val="2"/>
                              <w:sz w:val="16"/>
                            </w:rPr>
                            <w:br/>
                          </w:r>
                          <w:r>
                            <w:rPr>
                              <w:rFonts w:ascii="Comic Sans MS" w:hAnsi="Comic Sans MS"/>
                              <w:color w:val="333399"/>
                              <w:sz w:val="16"/>
                            </w:rPr>
                            <w:t xml:space="preserve">section 9 du </w:t>
                          </w:r>
                          <w:r>
                            <w:rPr>
                              <w:rFonts w:ascii="Monotype Corsiva" w:hAnsi="Monotype Corsiva"/>
                              <w:i/>
                              <w:iCs/>
                              <w:color w:val="333399"/>
                              <w:sz w:val="19"/>
                            </w:rPr>
                            <w:t>Guide d'élaboration d'un PPR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7.8pt;margin-top:6.4pt;width:19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kxhAIAABY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" stroked="f">
              <v:textbox>
                <w:txbxContent>
                  <w:p w:rsidR="002C5E51" w:rsidRPr="00E12334" w:rsidRDefault="002C5E51">
                    <w:pPr>
                      <w:jc w:val="right"/>
                      <w:rPr>
                        <w:rFonts w:ascii="Comic Sans MS" w:hAnsi="Comic Sans MS"/>
                        <w:b/>
                        <w:bCs/>
                        <w:color w:val="333399"/>
                        <w:sz w:val="16"/>
                        <w14:shadow w14:blurRad="50800" w14:dist="38100" w14:dir="2700000" w14:sx="100000" w14:sy="100000" w14:kx="0" w14:ky="0" w14:algn="tl">
                          <w14:srgbClr w14:val="000000">
                            <w14:alpha w14:val="60000"/>
                          </w14:srgbClr>
                        </w14:shadow>
                      </w:rPr>
                    </w:pPr>
                    <w:r w:rsidRPr="00E12334">
                      <w:rPr>
                        <w:rFonts w:ascii="Comic Sans MS" w:hAnsi="Comic Sans MS"/>
                        <w:b/>
                        <w:bCs/>
                        <w:color w:val="333399"/>
                        <w:sz w:val="16"/>
                        <w14:shadow w14:blurRad="50800" w14:dist="38100" w14:dir="2700000" w14:sx="100000" w14:sy="100000" w14:kx="0" w14:ky="0" w14:algn="tl">
                          <w14:srgbClr w14:val="000000">
                            <w14:alpha w14:val="60000"/>
                          </w14:srgbClr>
                        </w14:shadow>
                      </w:rPr>
                      <w:t>Modèle n</w:t>
                    </w:r>
                    <w:r w:rsidRPr="00E12334">
                      <w:rPr>
                        <w:rFonts w:ascii="Comic Sans MS" w:hAnsi="Comic Sans MS"/>
                        <w:b/>
                        <w:bCs/>
                        <w:color w:val="333399"/>
                        <w:sz w:val="16"/>
                        <w:vertAlign w:val="superscript"/>
                        <w14:shadow w14:blurRad="50800" w14:dist="38100" w14:dir="2700000" w14:sx="100000" w14:sy="100000" w14:kx="0" w14:ky="0" w14:algn="tl">
                          <w14:srgbClr w14:val="000000">
                            <w14:alpha w14:val="60000"/>
                          </w14:srgbClr>
                        </w14:shadow>
                      </w:rPr>
                      <w:t>o</w:t>
                    </w:r>
                    <w:r w:rsidRPr="00E12334">
                      <w:rPr>
                        <w:rFonts w:ascii="Comic Sans MS" w:hAnsi="Comic Sans MS"/>
                        <w:b/>
                        <w:bCs/>
                        <w:color w:val="333399"/>
                        <w:sz w:val="16"/>
                        <w14:shadow w14:blurRad="50800" w14:dist="38100" w14:dir="2700000" w14:sx="100000" w14:sy="100000" w14:kx="0" w14:ky="0" w14:algn="tl">
                          <w14:srgbClr w14:val="000000">
                            <w14:alpha w14:val="60000"/>
                          </w14:srgbClr>
                        </w14:shadow>
                      </w:rPr>
                      <w:t xml:space="preserve"> 10</w:t>
                    </w:r>
                  </w:p>
                  <w:p w:rsidR="002C5E51" w:rsidRDefault="002C5E51">
                    <w:pPr>
                      <w:jc w:val="right"/>
                      <w:rPr>
                        <w:rFonts w:ascii="Comic Sans MS" w:hAnsi="Comic Sans MS"/>
                        <w:color w:val="333399"/>
                        <w:sz w:val="19"/>
                      </w:rPr>
                    </w:pPr>
                    <w:r>
                      <w:rPr>
                        <w:rFonts w:ascii="Comic Sans MS" w:hAnsi="Comic Sans MS"/>
                        <w:color w:val="333399"/>
                        <w:spacing w:val="2"/>
                        <w:sz w:val="16"/>
                      </w:rPr>
                      <w:t>En référence à l'étape 6 du PPR et à la</w:t>
                    </w:r>
                    <w:r>
                      <w:rPr>
                        <w:rFonts w:ascii="Comic Sans MS" w:hAnsi="Comic Sans MS"/>
                        <w:color w:val="333399"/>
                        <w:spacing w:val="2"/>
                        <w:sz w:val="16"/>
                      </w:rPr>
                      <w:br/>
                    </w:r>
                    <w:r>
                      <w:rPr>
                        <w:rFonts w:ascii="Comic Sans MS" w:hAnsi="Comic Sans MS"/>
                        <w:color w:val="333399"/>
                        <w:sz w:val="16"/>
                      </w:rPr>
                      <w:t xml:space="preserve">section 9 du </w:t>
                    </w:r>
                    <w:r>
                      <w:rPr>
                        <w:rFonts w:ascii="Monotype Corsiva" w:hAnsi="Monotype Corsiva"/>
                        <w:i/>
                        <w:iCs/>
                        <w:color w:val="333399"/>
                        <w:sz w:val="19"/>
                      </w:rPr>
                      <w:t>Guide d'élaboration d'un PPR</w:t>
                    </w:r>
                  </w:p>
                </w:txbxContent>
              </v:textbox>
            </v:shape>
          </w:pict>
        </mc:Fallback>
      </mc:AlternateContent>
    </w:r>
    <w:r w:rsidR="002C5E51">
      <w:tab/>
    </w:r>
  </w:p>
  <w:p w:rsidR="002C5E51" w:rsidRDefault="002C5E51">
    <w:pPr>
      <w:pStyle w:val="Corpsdetexte"/>
      <w:tabs>
        <w:tab w:val="left" w:pos="3060"/>
        <w:tab w:val="left" w:pos="5580"/>
        <w:tab w:val="left" w:pos="6480"/>
        <w:tab w:val="left" w:pos="9720"/>
      </w:tabs>
      <w:spacing w:before="40"/>
      <w:jc w:val="left"/>
      <w:rPr>
        <w:rFonts w:ascii="Arial Narrow" w:hAnsi="Arial Narrow"/>
        <w:sz w:val="14"/>
      </w:rPr>
    </w:pPr>
  </w:p>
  <w:p w:rsidR="002C5E51" w:rsidRDefault="002C5E51">
    <w:pPr>
      <w:pStyle w:val="Corpsdetexte"/>
      <w:tabs>
        <w:tab w:val="left" w:pos="3060"/>
        <w:tab w:val="left" w:pos="5580"/>
        <w:tab w:val="left" w:pos="6480"/>
        <w:tab w:val="left" w:pos="9720"/>
      </w:tabs>
      <w:spacing w:before="40"/>
      <w:jc w:val="left"/>
      <w:rPr>
        <w:rFonts w:ascii="Arial Narrow" w:hAnsi="Arial Narrow"/>
        <w:sz w:val="14"/>
      </w:rPr>
    </w:pPr>
  </w:p>
  <w:p w:rsidR="002C5E51" w:rsidRDefault="002C5E51">
    <w:pPr>
      <w:pStyle w:val="Corpsdetexte"/>
      <w:tabs>
        <w:tab w:val="left" w:pos="3060"/>
        <w:tab w:val="left" w:pos="5580"/>
        <w:tab w:val="left" w:pos="6480"/>
        <w:tab w:val="left" w:pos="9720"/>
      </w:tabs>
      <w:spacing w:before="40"/>
      <w:jc w:val="left"/>
      <w:rPr>
        <w:rFonts w:ascii="Arial Narrow" w:hAnsi="Arial Narrow"/>
        <w:sz w:val="14"/>
      </w:rPr>
    </w:pPr>
  </w:p>
  <w:p w:rsidR="005C2481" w:rsidRDefault="005C2481">
    <w:pPr>
      <w:pStyle w:val="Corpsdetexte"/>
      <w:tabs>
        <w:tab w:val="left" w:pos="3060"/>
        <w:tab w:val="left" w:pos="5580"/>
        <w:tab w:val="left" w:pos="6480"/>
        <w:tab w:val="left" w:pos="9720"/>
      </w:tabs>
      <w:spacing w:before="40"/>
      <w:jc w:val="left"/>
      <w:rPr>
        <w:rFonts w:ascii="Arial Narrow" w:hAnsi="Arial Narrow"/>
        <w:sz w:val="14"/>
      </w:rPr>
    </w:pPr>
  </w:p>
  <w:p w:rsidR="005C2481" w:rsidRDefault="005C2481">
    <w:pPr>
      <w:pStyle w:val="Corpsdetexte"/>
      <w:tabs>
        <w:tab w:val="left" w:pos="3060"/>
        <w:tab w:val="left" w:pos="5580"/>
        <w:tab w:val="left" w:pos="6480"/>
        <w:tab w:val="left" w:pos="9720"/>
      </w:tabs>
      <w:spacing w:before="40"/>
      <w:jc w:val="left"/>
      <w:rPr>
        <w:rFonts w:ascii="Arial Narrow" w:hAnsi="Arial Narrow"/>
        <w:sz w:val="14"/>
      </w:rPr>
    </w:pPr>
  </w:p>
  <w:p w:rsidR="002C5E51" w:rsidRDefault="002C5E51">
    <w:pPr>
      <w:pStyle w:val="Corpsdetexte"/>
      <w:tabs>
        <w:tab w:val="left" w:pos="3060"/>
        <w:tab w:val="left" w:pos="5580"/>
        <w:tab w:val="left" w:pos="6480"/>
        <w:tab w:val="left" w:pos="9720"/>
      </w:tabs>
      <w:spacing w:before="40"/>
      <w:jc w:val="left"/>
      <w:rPr>
        <w:rFonts w:ascii="Arial Narrow" w:hAnsi="Arial Narrow"/>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03" w:rsidRDefault="008C33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877"/>
    <w:multiLevelType w:val="hybridMultilevel"/>
    <w:tmpl w:val="EC30816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78093C7B"/>
    <w:multiLevelType w:val="hybridMultilevel"/>
    <w:tmpl w:val="165C26C4"/>
    <w:lvl w:ilvl="0" w:tplc="A05435D4">
      <w:start w:val="1"/>
      <w:numFmt w:val="bullet"/>
      <w:lvlText w:val=""/>
      <w:lvlJc w:val="left"/>
      <w:pPr>
        <w:tabs>
          <w:tab w:val="num" w:pos="1065"/>
        </w:tabs>
        <w:ind w:left="1065"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51"/>
    <w:rsid w:val="002C5E51"/>
    <w:rsid w:val="002E1D96"/>
    <w:rsid w:val="00395E46"/>
    <w:rsid w:val="005C0A39"/>
    <w:rsid w:val="005C2481"/>
    <w:rsid w:val="008C3303"/>
    <w:rsid w:val="0096757C"/>
    <w:rsid w:val="00CC4C14"/>
    <w:rsid w:val="00E12334"/>
    <w:rsid w:val="00ED5A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B5DA200-0152-4D25-B167-9F0B2B5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omic Sans MS" w:hAnsi="Comic Sans MS"/>
      <w:b/>
      <w:bCs/>
      <w:color w:val="333399"/>
    </w:rPr>
  </w:style>
  <w:style w:type="paragraph" w:styleId="Titre2">
    <w:name w:val="heading 2"/>
    <w:basedOn w:val="Normal"/>
    <w:next w:val="Normal"/>
    <w:qFormat/>
    <w:pPr>
      <w:keepNext/>
      <w:spacing w:before="60" w:after="60"/>
      <w:outlineLvl w:val="1"/>
    </w:pPr>
    <w:rPr>
      <w:rFonts w:ascii="Comic Sans MS" w:hAnsi="Comic Sans MS"/>
      <w:b/>
      <w:bCs/>
      <w:color w:val="35359F"/>
      <w:sz w:val="22"/>
    </w:rPr>
  </w:style>
  <w:style w:type="paragraph" w:styleId="Titre3">
    <w:name w:val="heading 3"/>
    <w:basedOn w:val="Normal"/>
    <w:next w:val="Normal"/>
    <w:qFormat/>
    <w:pPr>
      <w:keepNext/>
      <w:spacing w:before="60" w:after="60"/>
      <w:outlineLvl w:val="2"/>
    </w:pPr>
    <w:rPr>
      <w:rFonts w:ascii="Comic Sans MS" w:hAnsi="Comic Sans MS"/>
      <w:b/>
      <w:bCs/>
      <w:color w:val="333399"/>
      <w:sz w:val="20"/>
    </w:rPr>
  </w:style>
  <w:style w:type="paragraph" w:styleId="Titre4">
    <w:name w:val="heading 4"/>
    <w:basedOn w:val="Normal"/>
    <w:next w:val="Normal"/>
    <w:qFormat/>
    <w:pPr>
      <w:keepNext/>
      <w:outlineLvl w:val="3"/>
    </w:pPr>
    <w:rPr>
      <w:rFonts w:ascii="Comic Sans MS" w:hAnsi="Comic Sans MS"/>
      <w:b/>
      <w:bCs/>
      <w:color w:val="35359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jc w:val="both"/>
    </w:pPr>
    <w:rPr>
      <w:sz w:val="20"/>
      <w:szCs w:val="20"/>
    </w:rPr>
  </w:style>
  <w:style w:type="paragraph" w:styleId="Corpsdetexte2">
    <w:name w:val="Body Text 2"/>
    <w:basedOn w:val="Normal"/>
    <w:pPr>
      <w:jc w:val="right"/>
    </w:pPr>
    <w:rPr>
      <w:rFonts w:ascii="Comic Sans MS" w:hAnsi="Comic Sans MS"/>
      <w:b/>
      <w:bCs/>
      <w:color w:val="4545C1"/>
      <w:sz w:val="20"/>
    </w:rPr>
  </w:style>
  <w:style w:type="paragraph" w:styleId="Corpsdetexte3">
    <w:name w:val="Body Text 3"/>
    <w:basedOn w:val="Normal"/>
    <w:pPr>
      <w:spacing w:before="60" w:after="60"/>
      <w:jc w:val="center"/>
    </w:pPr>
    <w:rPr>
      <w:rFonts w:ascii="Comic Sans MS" w:hAnsi="Comic Sans MS"/>
      <w:b/>
      <w:bCs/>
      <w:color w:val="35359F"/>
      <w:sz w:val="22"/>
      <w14:shadow w14:blurRad="50800" w14:dist="38100" w14:dir="2700000" w14:sx="100000" w14:sy="100000" w14:kx="0" w14:ky="0" w14:algn="tl">
        <w14:srgbClr w14:val="000000">
          <w14:alpha w14:val="60000"/>
        </w14:srgbClr>
      </w14:shadow>
    </w:rPr>
  </w:style>
  <w:style w:type="paragraph" w:styleId="Retraitcorpsdetexte">
    <w:name w:val="Body Text Indent"/>
    <w:basedOn w:val="Normal"/>
    <w:pPr>
      <w:spacing w:before="120" w:line="228" w:lineRule="auto"/>
      <w:ind w:left="43"/>
    </w:pPr>
    <w:rPr>
      <w:rFonts w:ascii="Comic Sans MS" w:hAnsi="Comic Sans MS"/>
      <w:color w:val="35359F"/>
      <w:spacing w:val="-2"/>
      <w:sz w:val="20"/>
    </w:rPr>
  </w:style>
  <w:style w:type="paragraph" w:styleId="Normalcentr">
    <w:name w:val="Block Text"/>
    <w:basedOn w:val="Normal"/>
    <w:pPr>
      <w:spacing w:before="120" w:line="228" w:lineRule="auto"/>
      <w:ind w:left="144" w:right="144"/>
      <w:jc w:val="both"/>
    </w:pPr>
    <w:rPr>
      <w:rFonts w:ascii="Comic Sans MS" w:hAnsi="Comic Sans MS"/>
      <w:color w:val="35359F"/>
      <w:spacing w:val="-2"/>
      <w:sz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link w:val="TextedebullesCar"/>
    <w:rsid w:val="005C0A39"/>
    <w:rPr>
      <w:rFonts w:ascii="Tahoma" w:hAnsi="Tahoma" w:cs="Tahoma"/>
      <w:sz w:val="16"/>
      <w:szCs w:val="16"/>
    </w:rPr>
  </w:style>
  <w:style w:type="character" w:customStyle="1" w:styleId="TextedebullesCar">
    <w:name w:val="Texte de bulles Car"/>
    <w:basedOn w:val="Policepardfaut"/>
    <w:link w:val="Textedebulles"/>
    <w:rsid w:val="005C0A3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0F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Projet régional</vt:lpstr>
    </vt:vector>
  </TitlesOfParts>
  <Company>RRSSSM</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régional</dc:title>
  <dc:subject/>
  <dc:creator>Judith Lord</dc:creator>
  <cp:keywords/>
  <dc:description/>
  <cp:lastModifiedBy>Suzanne Jakab</cp:lastModifiedBy>
  <cp:revision>4</cp:revision>
  <cp:lastPrinted>2015-11-03T19:47:00Z</cp:lastPrinted>
  <dcterms:created xsi:type="dcterms:W3CDTF">2015-10-20T15:17:00Z</dcterms:created>
  <dcterms:modified xsi:type="dcterms:W3CDTF">2016-05-27T15:07:00Z</dcterms:modified>
</cp:coreProperties>
</file>